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BF0" w:rsidRDefault="00205BF0" w:rsidP="00205BF0">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18"/>
      <w:r>
        <w:rPr>
          <w:rFonts w:ascii="Arial" w:hAnsi="Arial" w:cs="Arial"/>
          <w:b/>
          <w:bCs/>
          <w:sz w:val="20"/>
          <w:szCs w:val="20"/>
        </w:rPr>
        <w:t>Tài khoản 133 - Thuế GTGT được khấu trừ</w:t>
      </w:r>
      <w:bookmarkEnd w:id="0"/>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số thuế GTGT đầu vào được khấu trừ, đã khấu trừ và còn được khấu trừ của doanh nghiệp.</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Kế toán phải hạch toán riêng thuế GTGT đầu vào được khấu trừ và thuế GTGT đầu vào không được khấu trừ. Trường hợp không thể hạch toán riêng được 15 thì số thuế GTGT đầu vào được hạch toán vào Tài khoản 133. Cuối kỳ, kế toán phải xác định số thuế GTGT được khấu trừ và không được khấu trừ theo quy định của pháp luật về thuế GTGT.</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Số thuế GTGT đầu vào không được khấu trừ được tính vào giá trị tài sản được mua, giá vốn của hàng bán hoặc chi phí sản xuất, kinh doanh tùy theo từng trường hợp cụ thể.</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Việc xác định số thuế GTGT đầu vào được khấu trừ, kê khai, quyết toán, nộp thuế phải tuân thủ theo đúng quy định của pháp luật về thuế GTGT.</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133 - Thuế GTGT được khấu trừ</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Số thuế GTGT đầu vào được khấu trừ.</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thuế GTGT đầu vào đã khấu trừ;</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số thuế GTGT đầu vào không được khấu trừ;</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Thuế GTGT đầu vào của vật tư, hàng hóa mua vào nhưng đã trả lại, được chiết khấu, giảm giá;</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thuế GTGT đầu vào đã được hoàn lại.</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Số thuế GTGT đầu vào còn được khấu trừ, số thuế GTGT đầu vào được hoàn lại nhưng NSNN chưa hoàn trả.</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133 - Thuế GTGT được khấu trừ, có 2 tài khoản cấp 2:</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1331 - Thuế GTGT được khấu trừ của hàng hóa, dịch vụ:</w:t>
      </w:r>
      <w:r>
        <w:rPr>
          <w:rFonts w:ascii="Arial" w:hAnsi="Arial" w:cs="Arial"/>
          <w:sz w:val="20"/>
          <w:szCs w:val="20"/>
        </w:rPr>
        <w:t> Phản ánh thuế GTGT đầu vào được khấu trừ của vật tư, hàng hóa, dịch vụ mua ngoài dùng vào sản xuất, kinh doanh hàng hóa, dịch vụ thuộc đối tượng chịu thuế GTGT tính theo phương pháp khấu trừ thuế.</w:t>
      </w:r>
    </w:p>
    <w:p w:rsidR="00205BF0" w:rsidRDefault="00205BF0" w:rsidP="00205BF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1332 - Thuế GTGT được khấu trừ của tài sản cố định:</w:t>
      </w:r>
      <w:r>
        <w:rPr>
          <w:rFonts w:ascii="Arial" w:hAnsi="Arial" w:cs="Arial"/>
          <w:sz w:val="20"/>
          <w:szCs w:val="20"/>
        </w:rPr>
        <w:t> Phản ánh thuế GTGT đầu vào của quá trình đầu tư, mua sắm tài sản cố định, bất động sản đầu tư dùng vào hoạt động sản xuất, kinh doanh hàng hóa, dịch vụ thuộc đối tượng chịu thuế GTGT tính theo phương pháp khấu trừ thuế.</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BF0"/>
    <w:rsid w:val="00205BF0"/>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F8B936-D650-4829-A818-62722C74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5BF0"/>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29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1627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2024-03-18T01:43:00Z</dcterms:created>
  <dcterms:modified xsi:type="dcterms:W3CDTF">2024-03-18T01:43:00Z</dcterms:modified>
</cp:coreProperties>
</file>